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1A6F" w14:textId="77777777" w:rsidR="00461510" w:rsidRDefault="00461510" w:rsidP="00FD78F9">
      <w:pPr>
        <w:spacing w:after="180"/>
        <w:jc w:val="center"/>
        <w:rPr>
          <w:b/>
          <w:szCs w:val="24"/>
        </w:rPr>
      </w:pPr>
    </w:p>
    <w:p w14:paraId="64EFFFA4" w14:textId="2C210DC5" w:rsidR="007B3255" w:rsidRDefault="00B408BD" w:rsidP="00FD78F9">
      <w:pPr>
        <w:spacing w:after="180"/>
        <w:jc w:val="center"/>
        <w:rPr>
          <w:b/>
          <w:szCs w:val="24"/>
        </w:rPr>
      </w:pPr>
      <w:r w:rsidRPr="006C6451">
        <w:rPr>
          <w:b/>
          <w:szCs w:val="24"/>
        </w:rPr>
        <w:t>School District Budget Notice</w:t>
      </w:r>
    </w:p>
    <w:tbl>
      <w:tblPr>
        <w:tblW w:w="11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1700"/>
        <w:gridCol w:w="1700"/>
        <w:gridCol w:w="1888"/>
      </w:tblGrid>
      <w:tr w:rsidR="00B408BD" w:rsidRPr="000A5A5B" w14:paraId="7FAD2C67" w14:textId="77777777" w:rsidTr="0089143C">
        <w:trPr>
          <w:trHeight w:hRule="exact" w:val="81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2F2C70" w14:textId="77777777" w:rsidR="00B408BD" w:rsidRPr="000A5A5B" w:rsidRDefault="00E314AC" w:rsidP="000D7853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>Overall Budget Proposal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vAlign w:val="center"/>
          </w:tcPr>
          <w:p w14:paraId="3AC8BA2D" w14:textId="77777777" w:rsidR="00343739" w:rsidRPr="000A5A5B" w:rsidRDefault="00B408BD" w:rsidP="0034373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Budget Adopted </w:t>
            </w:r>
          </w:p>
          <w:p w14:paraId="419B22FE" w14:textId="66694272" w:rsidR="00343739" w:rsidRPr="000A5A5B" w:rsidRDefault="00B408BD" w:rsidP="0034373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for the </w:t>
            </w:r>
            <w:r w:rsidR="0036435C">
              <w:rPr>
                <w:rFonts w:cs="Arial"/>
                <w:b/>
                <w:sz w:val="16"/>
                <w:szCs w:val="16"/>
              </w:rPr>
              <w:t>20</w:t>
            </w:r>
            <w:r w:rsidR="00087761">
              <w:rPr>
                <w:rFonts w:cs="Arial"/>
                <w:b/>
                <w:sz w:val="16"/>
                <w:szCs w:val="16"/>
              </w:rPr>
              <w:t>2</w:t>
            </w:r>
            <w:r w:rsidR="00C31AE5">
              <w:rPr>
                <w:rFonts w:cs="Arial"/>
                <w:b/>
                <w:sz w:val="16"/>
                <w:szCs w:val="16"/>
              </w:rPr>
              <w:t>2</w:t>
            </w:r>
            <w:r w:rsidR="000E401F">
              <w:rPr>
                <w:rFonts w:cs="Arial"/>
                <w:b/>
                <w:sz w:val="16"/>
                <w:szCs w:val="16"/>
              </w:rPr>
              <w:t>-</w:t>
            </w:r>
            <w:r w:rsidR="00D4521D">
              <w:rPr>
                <w:rFonts w:cs="Arial"/>
                <w:b/>
                <w:sz w:val="16"/>
                <w:szCs w:val="16"/>
              </w:rPr>
              <w:t>2</w:t>
            </w:r>
            <w:r w:rsidR="00C31AE5">
              <w:rPr>
                <w:rFonts w:cs="Arial"/>
                <w:b/>
                <w:sz w:val="16"/>
                <w:szCs w:val="16"/>
              </w:rPr>
              <w:t>3</w:t>
            </w:r>
            <w:r w:rsidR="00D01FA3" w:rsidRPr="000A5A5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43739" w:rsidRPr="000A5A5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79A5186" w14:textId="77777777" w:rsidR="00EC397E" w:rsidRPr="000A5A5B" w:rsidRDefault="00B408BD" w:rsidP="0034373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>School Year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vAlign w:val="center"/>
          </w:tcPr>
          <w:p w14:paraId="7636670E" w14:textId="2741C643" w:rsidR="00B408BD" w:rsidRPr="000A5A5B" w:rsidRDefault="00B408BD" w:rsidP="00C534F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Budget Proposed for the </w:t>
            </w:r>
            <w:r w:rsidR="0036435C">
              <w:rPr>
                <w:rFonts w:cs="Arial"/>
                <w:b/>
                <w:sz w:val="16"/>
                <w:szCs w:val="16"/>
              </w:rPr>
              <w:t>20</w:t>
            </w:r>
            <w:r w:rsidR="00D4521D">
              <w:rPr>
                <w:rFonts w:cs="Arial"/>
                <w:b/>
                <w:sz w:val="16"/>
                <w:szCs w:val="16"/>
              </w:rPr>
              <w:t>2</w:t>
            </w:r>
            <w:r w:rsidR="00C31AE5">
              <w:rPr>
                <w:rFonts w:cs="Arial"/>
                <w:b/>
                <w:sz w:val="16"/>
                <w:szCs w:val="16"/>
              </w:rPr>
              <w:t>3</w:t>
            </w:r>
            <w:r w:rsidR="00F15F78">
              <w:rPr>
                <w:rFonts w:cs="Arial"/>
                <w:b/>
                <w:sz w:val="16"/>
                <w:szCs w:val="16"/>
              </w:rPr>
              <w:t>-2</w:t>
            </w:r>
            <w:r w:rsidR="00C31AE5">
              <w:rPr>
                <w:rFonts w:cs="Arial"/>
                <w:b/>
                <w:sz w:val="16"/>
                <w:szCs w:val="16"/>
              </w:rPr>
              <w:t>4</w:t>
            </w:r>
            <w:r w:rsidR="00D01FA3" w:rsidRPr="000A5A5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A5A5B">
              <w:rPr>
                <w:rFonts w:cs="Arial"/>
                <w:b/>
                <w:sz w:val="16"/>
                <w:szCs w:val="16"/>
              </w:rPr>
              <w:t>School Year</w:t>
            </w:r>
          </w:p>
        </w:tc>
        <w:tc>
          <w:tcPr>
            <w:tcW w:w="1884" w:type="dxa"/>
            <w:tcBorders>
              <w:top w:val="single" w:sz="8" w:space="0" w:color="000000"/>
            </w:tcBorders>
            <w:vAlign w:val="center"/>
          </w:tcPr>
          <w:p w14:paraId="201C7B26" w14:textId="6B56A969" w:rsidR="00D01FA3" w:rsidRPr="000A5A5B" w:rsidRDefault="009D2C82" w:rsidP="00C534F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Contingency Budget </w:t>
            </w:r>
            <w:r w:rsidR="00B408BD" w:rsidRPr="000A5A5B">
              <w:rPr>
                <w:rFonts w:cs="Arial"/>
                <w:b/>
                <w:sz w:val="16"/>
                <w:szCs w:val="16"/>
              </w:rPr>
              <w:t xml:space="preserve">for the </w:t>
            </w:r>
            <w:r w:rsidR="0036435C">
              <w:rPr>
                <w:rFonts w:cs="Arial"/>
                <w:b/>
                <w:sz w:val="16"/>
                <w:szCs w:val="16"/>
              </w:rPr>
              <w:t>20</w:t>
            </w:r>
            <w:r w:rsidR="00D4521D">
              <w:rPr>
                <w:rFonts w:cs="Arial"/>
                <w:b/>
                <w:sz w:val="16"/>
                <w:szCs w:val="16"/>
              </w:rPr>
              <w:t>2</w:t>
            </w:r>
            <w:r w:rsidR="00C31AE5">
              <w:rPr>
                <w:rFonts w:cs="Arial"/>
                <w:b/>
                <w:sz w:val="16"/>
                <w:szCs w:val="16"/>
              </w:rPr>
              <w:t>3</w:t>
            </w:r>
            <w:r w:rsidR="00F15F78">
              <w:rPr>
                <w:rFonts w:cs="Arial"/>
                <w:b/>
                <w:sz w:val="16"/>
                <w:szCs w:val="16"/>
              </w:rPr>
              <w:t>-2</w:t>
            </w:r>
            <w:r w:rsidR="00C31AE5">
              <w:rPr>
                <w:rFonts w:cs="Arial"/>
                <w:b/>
                <w:sz w:val="16"/>
                <w:szCs w:val="16"/>
              </w:rPr>
              <w:t>4</w:t>
            </w:r>
            <w:r w:rsidR="00F15F7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E368B">
              <w:rPr>
                <w:rFonts w:cs="Arial"/>
                <w:b/>
                <w:sz w:val="16"/>
                <w:szCs w:val="16"/>
              </w:rPr>
              <w:t>S</w:t>
            </w:r>
            <w:r w:rsidR="00B408BD" w:rsidRPr="000A5A5B">
              <w:rPr>
                <w:rFonts w:cs="Arial"/>
                <w:b/>
                <w:sz w:val="16"/>
                <w:szCs w:val="16"/>
              </w:rPr>
              <w:t>chool Year</w:t>
            </w:r>
            <w:r w:rsidR="00CF1F81" w:rsidRPr="000A5A5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408BD" w:rsidRPr="000A5A5B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8C75CD" w:rsidRPr="000A5A5B" w14:paraId="4D0CC389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vAlign w:val="center"/>
          </w:tcPr>
          <w:p w14:paraId="318D7630" w14:textId="77777777" w:rsidR="008C75CD" w:rsidRPr="000A5A5B" w:rsidRDefault="008C75C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Total Budgeted Amount, Not Including Separate Propositions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vAlign w:val="center"/>
          </w:tcPr>
          <w:p w14:paraId="1AFBD234" w14:textId="0EC139CD" w:rsidR="008C75CD" w:rsidRPr="000A5A5B" w:rsidRDefault="008C75CD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$ </w:t>
            </w:r>
            <w:r w:rsidR="00594E1C">
              <w:rPr>
                <w:rFonts w:cs="Arial"/>
                <w:sz w:val="16"/>
                <w:szCs w:val="16"/>
              </w:rPr>
              <w:t>12,038,948</w:t>
            </w:r>
          </w:p>
        </w:tc>
        <w:tc>
          <w:tcPr>
            <w:tcW w:w="1700" w:type="dxa"/>
            <w:vAlign w:val="center"/>
          </w:tcPr>
          <w:p w14:paraId="49BBC24C" w14:textId="748E9F24" w:rsidR="008C75CD" w:rsidRPr="000A5A5B" w:rsidRDefault="008C75CD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12,343,431</w:t>
            </w:r>
          </w:p>
        </w:tc>
        <w:tc>
          <w:tcPr>
            <w:tcW w:w="1884" w:type="dxa"/>
            <w:vAlign w:val="center"/>
          </w:tcPr>
          <w:p w14:paraId="4319BA4C" w14:textId="0DC5BCD7" w:rsidR="008C75CD" w:rsidRPr="000A5A5B" w:rsidRDefault="008C75CD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12,004,873</w:t>
            </w:r>
          </w:p>
        </w:tc>
      </w:tr>
      <w:tr w:rsidR="006C6451" w:rsidRPr="000A5A5B" w14:paraId="32C3BC21" w14:textId="77777777" w:rsidTr="0089143C">
        <w:trPr>
          <w:trHeight w:val="43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B63502" w14:textId="1BB49D20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Increase/Decrease for the </w:t>
            </w:r>
            <w:r w:rsidR="0036435C">
              <w:rPr>
                <w:rFonts w:cs="Arial"/>
                <w:sz w:val="16"/>
                <w:szCs w:val="16"/>
              </w:rPr>
              <w:t>20</w:t>
            </w:r>
            <w:r w:rsidR="004B7947">
              <w:rPr>
                <w:rFonts w:cs="Arial"/>
                <w:sz w:val="16"/>
                <w:szCs w:val="16"/>
              </w:rPr>
              <w:t>2</w:t>
            </w:r>
            <w:r w:rsidR="00C31AE5">
              <w:rPr>
                <w:rFonts w:cs="Arial"/>
                <w:sz w:val="16"/>
                <w:szCs w:val="16"/>
              </w:rPr>
              <w:t>3</w:t>
            </w:r>
            <w:r w:rsidR="0089143C">
              <w:rPr>
                <w:rFonts w:cs="Arial"/>
                <w:sz w:val="16"/>
                <w:szCs w:val="16"/>
              </w:rPr>
              <w:t>-2</w:t>
            </w:r>
            <w:r w:rsidR="00C31AE5">
              <w:rPr>
                <w:rFonts w:cs="Arial"/>
                <w:sz w:val="16"/>
                <w:szCs w:val="16"/>
              </w:rPr>
              <w:t>4</w:t>
            </w:r>
            <w:r w:rsidRPr="000A5A5B">
              <w:rPr>
                <w:rFonts w:cs="Arial"/>
                <w:sz w:val="16"/>
                <w:szCs w:val="16"/>
              </w:rPr>
              <w:t xml:space="preserve"> School Year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14:paraId="521C908D" w14:textId="77777777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CE250C2" w14:textId="7558C386" w:rsidR="006C6451" w:rsidRPr="000A5A5B" w:rsidRDefault="006C645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304,483</w:t>
            </w:r>
          </w:p>
        </w:tc>
        <w:tc>
          <w:tcPr>
            <w:tcW w:w="1884" w:type="dxa"/>
            <w:vAlign w:val="center"/>
          </w:tcPr>
          <w:p w14:paraId="0140ECA9" w14:textId="04D6EA4F" w:rsidR="006C6451" w:rsidRPr="000A5A5B" w:rsidRDefault="006C645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-34,075</w:t>
            </w:r>
          </w:p>
        </w:tc>
      </w:tr>
      <w:tr w:rsidR="006C6451" w:rsidRPr="000A5A5B" w14:paraId="7893B2FF" w14:textId="77777777" w:rsidTr="0089143C">
        <w:trPr>
          <w:trHeight w:val="43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150254" w14:textId="77777777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Percentage Increase</w:t>
            </w:r>
            <w:r w:rsidR="00A75171" w:rsidRPr="000A5A5B">
              <w:rPr>
                <w:rFonts w:cs="Arial"/>
                <w:sz w:val="16"/>
                <w:szCs w:val="16"/>
              </w:rPr>
              <w:t xml:space="preserve">/Decrease </w:t>
            </w:r>
            <w:r w:rsidRPr="000A5A5B">
              <w:rPr>
                <w:rFonts w:cs="Arial"/>
                <w:sz w:val="16"/>
                <w:szCs w:val="16"/>
              </w:rPr>
              <w:t>in Proposed Budget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3307024E" w14:textId="77777777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center"/>
          </w:tcPr>
          <w:p w14:paraId="2EF04BDB" w14:textId="66A462AC" w:rsidR="006C6451" w:rsidRPr="000A5A5B" w:rsidRDefault="001B044C" w:rsidP="001B044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2.53</w:t>
            </w:r>
            <w:r w:rsidR="00343739" w:rsidRPr="000A5A5B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6C6451" w:rsidRPr="000A5A5B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1884" w:type="dxa"/>
            <w:tcBorders>
              <w:bottom w:val="single" w:sz="8" w:space="0" w:color="000000"/>
            </w:tcBorders>
            <w:vAlign w:val="center"/>
          </w:tcPr>
          <w:p w14:paraId="539AE6C3" w14:textId="4E3AA2DB" w:rsidR="006C6451" w:rsidRPr="000A5A5B" w:rsidRDefault="001B044C" w:rsidP="001B044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-.28</w:t>
            </w:r>
            <w:r w:rsidR="006C6451" w:rsidRPr="000A5A5B">
              <w:rPr>
                <w:rFonts w:cs="Arial"/>
                <w:bCs/>
                <w:sz w:val="16"/>
                <w:szCs w:val="16"/>
              </w:rPr>
              <w:t>%</w:t>
            </w:r>
          </w:p>
        </w:tc>
      </w:tr>
      <w:tr w:rsidR="002B1A93" w:rsidRPr="000A5A5B" w14:paraId="704F7D8C" w14:textId="77777777" w:rsidTr="0089143C">
        <w:trPr>
          <w:trHeight w:val="376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546D539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Change in the Consumer Price Index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196EDDD3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4D40B3A1" w14:textId="54D15974" w:rsidR="00741475" w:rsidRPr="000A5A5B" w:rsidRDefault="00C31AE5" w:rsidP="00910BE4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</w:t>
            </w:r>
            <w:r w:rsidR="00D4521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0</w:t>
            </w:r>
            <w:r w:rsidR="00741475" w:rsidRPr="000A5A5B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C6D9F1"/>
            <w:vAlign w:val="center"/>
          </w:tcPr>
          <w:p w14:paraId="4638085F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</w:p>
          <w:p w14:paraId="6EA5F907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AB693C" w:rsidRPr="000A5A5B" w14:paraId="202824E9" w14:textId="77777777" w:rsidTr="0089143C">
        <w:trPr>
          <w:trHeight w:hRule="exact" w:val="144"/>
          <w:jc w:val="center"/>
        </w:trPr>
        <w:tc>
          <w:tcPr>
            <w:tcW w:w="11048" w:type="dxa"/>
            <w:gridSpan w:val="4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34905560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AB693C" w:rsidRPr="000A5A5B" w14:paraId="680CF270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14:paraId="3F1CBABD" w14:textId="77777777" w:rsidR="00AB693C" w:rsidRPr="000A5A5B" w:rsidRDefault="00E71901" w:rsidP="00581D84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A.  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Proposed 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Levy </w:t>
            </w:r>
            <w:r w:rsidR="00BB0689" w:rsidRPr="000A5A5B">
              <w:rPr>
                <w:rFonts w:cs="Arial"/>
                <w:sz w:val="16"/>
                <w:szCs w:val="16"/>
              </w:rPr>
              <w:t>to Support the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 Total Budgeted Amount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C34B210" w14:textId="30B20FCB" w:rsidR="00AB693C" w:rsidRPr="000A5A5B" w:rsidRDefault="00BD09B8" w:rsidP="008E3A0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4,281,600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14:paraId="1C9FDBA4" w14:textId="333D7D63" w:rsidR="00AB693C" w:rsidRPr="000A5A5B" w:rsidRDefault="00BD09B8" w:rsidP="001B044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4,391,853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3BB9F586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AB693C" w:rsidRPr="000A5A5B" w14:paraId="4A35907C" w14:textId="77777777" w:rsidTr="0089143C">
        <w:trPr>
          <w:trHeight w:hRule="exact" w:val="432"/>
          <w:jc w:val="center"/>
        </w:trPr>
        <w:tc>
          <w:tcPr>
            <w:tcW w:w="5760" w:type="dxa"/>
            <w:shd w:val="clear" w:color="000000" w:fill="FFFFFF"/>
            <w:vAlign w:val="center"/>
          </w:tcPr>
          <w:p w14:paraId="53BDADF2" w14:textId="77777777" w:rsidR="00AB693C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B.  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Levy </w:t>
            </w:r>
            <w:r w:rsidR="00BB0689" w:rsidRPr="000A5A5B">
              <w:rPr>
                <w:rFonts w:cs="Arial"/>
                <w:sz w:val="16"/>
                <w:szCs w:val="16"/>
              </w:rPr>
              <w:t>to Support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 Library Debt</w:t>
            </w:r>
            <w:r w:rsidR="00FF0B74" w:rsidRPr="000A5A5B">
              <w:rPr>
                <w:rFonts w:cs="Arial"/>
                <w:sz w:val="16"/>
                <w:szCs w:val="16"/>
              </w:rPr>
              <w:t>, if Applicable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C6EF09" w14:textId="44B0DDB8" w:rsidR="00AB693C" w:rsidRPr="000A5A5B" w:rsidRDefault="00BD09B8" w:rsidP="008E3A0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14:paraId="20CD091C" w14:textId="59001E7F" w:rsidR="00AB693C" w:rsidRPr="000A5A5B" w:rsidRDefault="00BD09B8" w:rsidP="001B044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4E32CAB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117C2F" w:rsidRPr="000A5A5B" w14:paraId="1AB82E00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03F4C256" w14:textId="77777777" w:rsidR="00AB693C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C.  </w:t>
            </w:r>
            <w:r w:rsidR="00AB693C" w:rsidRPr="000A5A5B">
              <w:rPr>
                <w:rFonts w:cs="Arial"/>
                <w:sz w:val="16"/>
                <w:szCs w:val="16"/>
              </w:rPr>
              <w:t>Levy for Non-Excludable Propositions</w:t>
            </w:r>
            <w:r w:rsidR="00D9743C" w:rsidRPr="000A5A5B">
              <w:rPr>
                <w:rFonts w:cs="Arial"/>
                <w:sz w:val="16"/>
                <w:szCs w:val="16"/>
              </w:rPr>
              <w:t>, if Applicable</w:t>
            </w:r>
            <w:r w:rsidR="00ED5C15" w:rsidRPr="000A5A5B">
              <w:rPr>
                <w:rFonts w:cs="Arial"/>
                <w:sz w:val="16"/>
                <w:szCs w:val="16"/>
              </w:rPr>
              <w:t xml:space="preserve"> </w:t>
            </w:r>
            <w:r w:rsidRPr="000A5A5B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FD01630" w14:textId="5036BE13" w:rsidR="00AB693C" w:rsidRPr="000A5A5B" w:rsidRDefault="00BD09B8" w:rsidP="008E3A0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4CF00B13" w14:textId="749EDEAD" w:rsidR="00AB693C" w:rsidRPr="00594E1C" w:rsidRDefault="00BD09B8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594E1C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2FE5B75D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50312D" w:rsidRPr="000A5A5B" w14:paraId="48760F76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single" w:sz="8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14:paraId="26C966DB" w14:textId="77777777" w:rsidR="0050312D" w:rsidRPr="000A5A5B" w:rsidRDefault="0050312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D.  Total Tax Cap Reserve Amount Used to Reduce Current Year Levy</w:t>
            </w:r>
          </w:p>
        </w:tc>
        <w:tc>
          <w:tcPr>
            <w:tcW w:w="1700" w:type="dxa"/>
            <w:tcBorders>
              <w:top w:val="single" w:sz="8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7BA385" w14:textId="5F26BDC3" w:rsidR="0050312D" w:rsidRPr="000A5A5B" w:rsidRDefault="00BD09B8" w:rsidP="008E3A0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14:paraId="7D3CF57C" w14:textId="0DD18C4F" w:rsidR="0050312D" w:rsidRPr="000A5A5B" w:rsidRDefault="00BD09B8" w:rsidP="001B044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nil"/>
              <w:bottom w:val="double" w:sz="4" w:space="0" w:color="auto"/>
            </w:tcBorders>
            <w:shd w:val="clear" w:color="auto" w:fill="C6D9F1"/>
            <w:vAlign w:val="center"/>
          </w:tcPr>
          <w:p w14:paraId="26A2A3E3" w14:textId="77777777" w:rsidR="0050312D" w:rsidRPr="000A5A5B" w:rsidRDefault="0050312D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117C2F" w:rsidRPr="000A5A5B" w14:paraId="5274FD67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pct5" w:color="auto" w:fill="FFFFFF"/>
            <w:vAlign w:val="center"/>
          </w:tcPr>
          <w:p w14:paraId="743BED18" w14:textId="0BEE2DB3" w:rsidR="00AB693C" w:rsidRPr="000A5A5B" w:rsidRDefault="0050312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E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.  </w:t>
            </w:r>
            <w:r w:rsidR="00AB693C" w:rsidRPr="000A5A5B">
              <w:rPr>
                <w:rFonts w:cs="Arial"/>
                <w:sz w:val="16"/>
                <w:szCs w:val="16"/>
              </w:rPr>
              <w:t>Total Proposed School Year Tax Levy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 </w:t>
            </w:r>
            <w:r w:rsidR="00AB693C" w:rsidRPr="000A5A5B">
              <w:rPr>
                <w:rFonts w:cs="Arial"/>
                <w:sz w:val="16"/>
                <w:szCs w:val="16"/>
              </w:rPr>
              <w:t>(</w:t>
            </w:r>
            <w:r w:rsidR="00E71901" w:rsidRPr="000A5A5B">
              <w:rPr>
                <w:rFonts w:cs="Arial"/>
                <w:sz w:val="16"/>
                <w:szCs w:val="16"/>
              </w:rPr>
              <w:t>A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+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B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+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C</w:t>
            </w:r>
            <w:r w:rsidRPr="000A5A5B">
              <w:rPr>
                <w:rFonts w:cs="Arial"/>
                <w:sz w:val="16"/>
                <w:szCs w:val="16"/>
              </w:rPr>
              <w:t xml:space="preserve"> </w:t>
            </w:r>
            <w:r w:rsidR="002A2F73" w:rsidRPr="000A5A5B">
              <w:rPr>
                <w:rFonts w:cs="Arial"/>
                <w:sz w:val="16"/>
                <w:szCs w:val="16"/>
              </w:rPr>
              <w:t>-</w:t>
            </w:r>
            <w:r w:rsidRPr="000A5A5B">
              <w:rPr>
                <w:rFonts w:cs="Arial"/>
                <w:sz w:val="16"/>
                <w:szCs w:val="16"/>
              </w:rPr>
              <w:t xml:space="preserve"> D</w:t>
            </w:r>
            <w:r w:rsidR="00AB693C" w:rsidRPr="000A5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pct5" w:color="auto" w:fill="FFFFFF"/>
            <w:vAlign w:val="center"/>
          </w:tcPr>
          <w:p w14:paraId="3A0399A5" w14:textId="72A52614" w:rsidR="00AB693C" w:rsidRPr="000A5A5B" w:rsidRDefault="00BD09B8" w:rsidP="008E3A0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4,281,600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pct5" w:color="auto" w:fill="FFFFFF"/>
            <w:vAlign w:val="center"/>
          </w:tcPr>
          <w:p w14:paraId="372A2662" w14:textId="676A8BC5" w:rsidR="00AB693C" w:rsidRPr="000A5A5B" w:rsidRDefault="00BD09B8" w:rsidP="001B044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4,391,853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70F5677" w14:textId="7BA46517" w:rsidR="00AB693C" w:rsidRPr="000A5A5B" w:rsidRDefault="00BD09B8" w:rsidP="001B044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4,053,295</w:t>
            </w:r>
          </w:p>
        </w:tc>
      </w:tr>
      <w:tr w:rsidR="00117C2F" w:rsidRPr="000A5A5B" w14:paraId="5B4C0A29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6D2A4104" w14:textId="77777777" w:rsidR="00B47BC6" w:rsidRPr="000A5A5B" w:rsidRDefault="007C03D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F</w:t>
            </w:r>
            <w:r w:rsidR="00B47BC6" w:rsidRPr="000A5A5B">
              <w:rPr>
                <w:rFonts w:cs="Arial"/>
                <w:sz w:val="16"/>
                <w:szCs w:val="16"/>
              </w:rPr>
              <w:t>.  Total Permissible Exclusions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0D262D" w14:textId="154BC431" w:rsidR="00B47BC6" w:rsidRPr="000A5A5B" w:rsidRDefault="00B47BC6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315,436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587E393B" w14:textId="07859076" w:rsidR="00B47BC6" w:rsidRPr="000A5A5B" w:rsidRDefault="00B47BC6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477,944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D665EB4" w14:textId="77777777" w:rsidR="00B47BC6" w:rsidRPr="000A5A5B" w:rsidRDefault="00B47BC6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7FBAECD9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F2EC0F5" w14:textId="77777777" w:rsidR="00E71901" w:rsidRPr="000A5A5B" w:rsidRDefault="006E4A66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G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. </w:t>
            </w:r>
            <w:r w:rsidR="00E277E2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School Tax Levy Limit, </w:t>
            </w:r>
            <w:r w:rsidR="00E277E2" w:rsidRPr="000A5A5B">
              <w:rPr>
                <w:rFonts w:cs="Arial"/>
                <w:sz w:val="16"/>
                <w:szCs w:val="16"/>
                <w:u w:val="single"/>
              </w:rPr>
              <w:t>Excluding</w:t>
            </w:r>
            <w:r w:rsidR="00E277E2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Levy for </w:t>
            </w:r>
            <w:r w:rsidR="00E277E2" w:rsidRPr="000A5A5B">
              <w:rPr>
                <w:rFonts w:cs="Arial"/>
                <w:sz w:val="16"/>
                <w:szCs w:val="16"/>
              </w:rPr>
              <w:t xml:space="preserve">Permissible </w:t>
            </w:r>
            <w:r w:rsidR="00E71901" w:rsidRPr="000A5A5B">
              <w:rPr>
                <w:rFonts w:cs="Arial"/>
                <w:sz w:val="16"/>
                <w:szCs w:val="16"/>
              </w:rPr>
              <w:t>Exclusions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D265D" w14:textId="54BCAC89" w:rsidR="00E71901" w:rsidRPr="000A5A5B" w:rsidRDefault="00E71901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3,966,166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0A56979" w14:textId="10DA0A66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4,043,029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64CBF676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D9743C" w:rsidRPr="000A5A5B" w14:paraId="4D04ECA2" w14:textId="77777777" w:rsidTr="0089143C">
        <w:trPr>
          <w:trHeight w:val="561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411D4049" w14:textId="77777777" w:rsidR="00D9743C" w:rsidRPr="000A5A5B" w:rsidRDefault="006E4A66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H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.  Total Proposed School Year Tax Levy, </w:t>
            </w:r>
            <w:r w:rsidR="00D9743C" w:rsidRPr="000A5A5B">
              <w:rPr>
                <w:rFonts w:cs="Arial"/>
                <w:sz w:val="16"/>
                <w:szCs w:val="16"/>
                <w:u w:val="single"/>
              </w:rPr>
              <w:t>Excluding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 Levy to Support Library Debt and/or Permissible Exclusions (E – B </w:t>
            </w:r>
            <w:r w:rsidR="002A2F73" w:rsidRPr="000A5A5B">
              <w:rPr>
                <w:rFonts w:cs="Arial"/>
                <w:sz w:val="16"/>
                <w:szCs w:val="16"/>
              </w:rPr>
              <w:t>–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 F</w:t>
            </w:r>
            <w:r w:rsidR="002A2F73" w:rsidRPr="000A5A5B">
              <w:rPr>
                <w:rFonts w:cs="Arial"/>
                <w:sz w:val="16"/>
                <w:szCs w:val="16"/>
              </w:rPr>
              <w:t xml:space="preserve"> + D</w:t>
            </w:r>
            <w:r w:rsidR="00D9743C" w:rsidRPr="000A5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auto"/>
            <w:vAlign w:val="center"/>
          </w:tcPr>
          <w:p w14:paraId="1A380950" w14:textId="4C10468B" w:rsidR="00D9743C" w:rsidRPr="000A5A5B" w:rsidRDefault="00D9743C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3,966,164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72C9FEE7" w14:textId="28029CD4" w:rsidR="00D9743C" w:rsidRPr="000A5A5B" w:rsidRDefault="00D9743C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3</w:t>
            </w:r>
            <w:r w:rsidR="00173AF3">
              <w:rPr>
                <w:rFonts w:cs="Arial"/>
                <w:sz w:val="16"/>
                <w:szCs w:val="16"/>
              </w:rPr>
              <w:t>,</w:t>
            </w:r>
            <w:bookmarkStart w:id="0" w:name="_GoBack"/>
            <w:bookmarkEnd w:id="0"/>
            <w:r w:rsidR="001B044C">
              <w:rPr>
                <w:rFonts w:cs="Arial"/>
                <w:sz w:val="16"/>
                <w:szCs w:val="16"/>
              </w:rPr>
              <w:t>913,909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4A44D0A3" w14:textId="77777777" w:rsidR="00D9743C" w:rsidRPr="000A5A5B" w:rsidRDefault="00D974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B02E00" w:rsidRPr="000A5A5B" w14:paraId="79A59518" w14:textId="77777777" w:rsidTr="0089143C">
        <w:trPr>
          <w:trHeight w:val="56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F6E083" w14:textId="77777777" w:rsidR="00E277E2" w:rsidRPr="000A5A5B" w:rsidRDefault="007C03D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I</w:t>
            </w:r>
            <w:r w:rsidR="00F247A0" w:rsidRPr="000A5A5B">
              <w:rPr>
                <w:rFonts w:cs="Arial"/>
                <w:sz w:val="16"/>
                <w:szCs w:val="16"/>
              </w:rPr>
              <w:t xml:space="preserve">.  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Difference: </w:t>
            </w:r>
            <w:r w:rsidR="001241B9" w:rsidRPr="000A5A5B">
              <w:rPr>
                <w:rFonts w:cs="Arial"/>
                <w:sz w:val="16"/>
                <w:szCs w:val="16"/>
              </w:rPr>
              <w:t>G</w:t>
            </w:r>
            <w:r w:rsidR="00ED5C15" w:rsidRPr="000A5A5B">
              <w:rPr>
                <w:rFonts w:cs="Arial"/>
                <w:sz w:val="16"/>
                <w:szCs w:val="16"/>
              </w:rPr>
              <w:t xml:space="preserve"> – </w:t>
            </w:r>
            <w:r w:rsidR="001241B9" w:rsidRPr="000A5A5B">
              <w:rPr>
                <w:rFonts w:cs="Arial"/>
                <w:sz w:val="16"/>
                <w:szCs w:val="16"/>
              </w:rPr>
              <w:t>H</w:t>
            </w:r>
            <w:r w:rsidR="00ED5C15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(</w:t>
            </w:r>
            <w:r w:rsidR="00D9743C" w:rsidRPr="000A5A5B">
              <w:rPr>
                <w:rFonts w:cs="Arial"/>
                <w:sz w:val="16"/>
                <w:szCs w:val="16"/>
              </w:rPr>
              <w:t>Nega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tive Value Requires 60.0% Voter Approval </w:t>
            </w:r>
            <w:r w:rsidR="00E277E2" w:rsidRPr="000A5A5B">
              <w:rPr>
                <w:rFonts w:cs="Arial"/>
                <w:sz w:val="16"/>
                <w:szCs w:val="16"/>
              </w:rPr>
              <w:t>–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 </w:t>
            </w:r>
          </w:p>
          <w:p w14:paraId="2A0FDD61" w14:textId="77777777" w:rsidR="00E71901" w:rsidRPr="000A5A5B" w:rsidRDefault="00F247A0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      </w:t>
            </w:r>
            <w:r w:rsidR="00E71901" w:rsidRPr="000A5A5B">
              <w:rPr>
                <w:rFonts w:cs="Arial"/>
                <w:sz w:val="16"/>
                <w:szCs w:val="16"/>
              </w:rPr>
              <w:t>See Note Below Regarding Separate Propositions)</w:t>
            </w:r>
            <w:r w:rsidR="009D4108" w:rsidRPr="000A5A5B">
              <w:rPr>
                <w:rFonts w:cs="Arial"/>
                <w:sz w:val="16"/>
                <w:szCs w:val="16"/>
              </w:rPr>
              <w:t xml:space="preserve"> **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C9945" w14:textId="276F2B9F" w:rsidR="00E71901" w:rsidRPr="000A5A5B" w:rsidRDefault="00E71901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0CD67" w14:textId="5EBD17C6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129,120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65549A05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51EA5A01" w14:textId="77777777" w:rsidTr="0089143C">
        <w:trPr>
          <w:trHeight w:hRule="exact" w:val="144"/>
          <w:jc w:val="center"/>
        </w:trPr>
        <w:tc>
          <w:tcPr>
            <w:tcW w:w="11048" w:type="dxa"/>
            <w:gridSpan w:val="4"/>
            <w:tcBorders>
              <w:top w:val="nil"/>
            </w:tcBorders>
            <w:shd w:val="clear" w:color="auto" w:fill="C6D9F1"/>
            <w:vAlign w:val="center"/>
          </w:tcPr>
          <w:p w14:paraId="6055AD68" w14:textId="77777777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18549680" w14:textId="77777777" w:rsidTr="0089143C">
        <w:trPr>
          <w:trHeight w:val="432"/>
          <w:jc w:val="center"/>
        </w:trPr>
        <w:tc>
          <w:tcPr>
            <w:tcW w:w="5760" w:type="dxa"/>
            <w:vAlign w:val="center"/>
          </w:tcPr>
          <w:p w14:paraId="268BAF6F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 Administrative Component</w:t>
            </w:r>
          </w:p>
        </w:tc>
        <w:tc>
          <w:tcPr>
            <w:tcW w:w="1700" w:type="dxa"/>
            <w:vAlign w:val="center"/>
          </w:tcPr>
          <w:p w14:paraId="57D5EB59" w14:textId="149FEBCF" w:rsidR="00E71901" w:rsidRPr="000A5A5B" w:rsidRDefault="00E71901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1,353,073</w:t>
            </w:r>
          </w:p>
        </w:tc>
        <w:tc>
          <w:tcPr>
            <w:tcW w:w="1700" w:type="dxa"/>
            <w:vAlign w:val="center"/>
          </w:tcPr>
          <w:p w14:paraId="44B28DBF" w14:textId="5C263310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1,400,224</w:t>
            </w:r>
          </w:p>
        </w:tc>
        <w:tc>
          <w:tcPr>
            <w:tcW w:w="1884" w:type="dxa"/>
            <w:vAlign w:val="center"/>
          </w:tcPr>
          <w:p w14:paraId="10F4BF1E" w14:textId="7DD29E5E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1,365,224</w:t>
            </w:r>
          </w:p>
        </w:tc>
      </w:tr>
      <w:tr w:rsidR="00E71901" w:rsidRPr="000A5A5B" w14:paraId="28C291A6" w14:textId="77777777" w:rsidTr="0089143C">
        <w:trPr>
          <w:trHeight w:val="432"/>
          <w:jc w:val="center"/>
        </w:trPr>
        <w:tc>
          <w:tcPr>
            <w:tcW w:w="5760" w:type="dxa"/>
            <w:vAlign w:val="center"/>
          </w:tcPr>
          <w:p w14:paraId="001E739C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 Program Component</w:t>
            </w:r>
          </w:p>
        </w:tc>
        <w:tc>
          <w:tcPr>
            <w:tcW w:w="1700" w:type="dxa"/>
            <w:vAlign w:val="center"/>
          </w:tcPr>
          <w:p w14:paraId="2B45E99C" w14:textId="188AE0E1" w:rsidR="00E71901" w:rsidRPr="000A5A5B" w:rsidRDefault="00E71901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8,413,979</w:t>
            </w:r>
          </w:p>
        </w:tc>
        <w:tc>
          <w:tcPr>
            <w:tcW w:w="1700" w:type="dxa"/>
            <w:vAlign w:val="center"/>
          </w:tcPr>
          <w:p w14:paraId="341FD985" w14:textId="3ADE268C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8,535,959</w:t>
            </w:r>
          </w:p>
        </w:tc>
        <w:tc>
          <w:tcPr>
            <w:tcW w:w="1884" w:type="dxa"/>
            <w:vAlign w:val="center"/>
          </w:tcPr>
          <w:p w14:paraId="44E88EFE" w14:textId="62AB2CE6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8,535,959</w:t>
            </w:r>
          </w:p>
        </w:tc>
      </w:tr>
      <w:tr w:rsidR="00E71901" w:rsidRPr="000A5A5B" w14:paraId="0DB103F6" w14:textId="77777777" w:rsidTr="0089143C">
        <w:trPr>
          <w:trHeight w:val="432"/>
          <w:jc w:val="center"/>
        </w:trPr>
        <w:tc>
          <w:tcPr>
            <w:tcW w:w="5760" w:type="dxa"/>
            <w:vAlign w:val="center"/>
          </w:tcPr>
          <w:p w14:paraId="4B5A4BF2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Capital Component</w:t>
            </w:r>
          </w:p>
        </w:tc>
        <w:tc>
          <w:tcPr>
            <w:tcW w:w="1700" w:type="dxa"/>
            <w:vAlign w:val="center"/>
          </w:tcPr>
          <w:p w14:paraId="6220570F" w14:textId="52975B6D" w:rsidR="00E71901" w:rsidRPr="000A5A5B" w:rsidRDefault="00E71901" w:rsidP="008E3A0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594E1C">
              <w:rPr>
                <w:rFonts w:cs="Arial"/>
                <w:sz w:val="16"/>
                <w:szCs w:val="16"/>
              </w:rPr>
              <w:t>2,271,896</w:t>
            </w:r>
          </w:p>
        </w:tc>
        <w:tc>
          <w:tcPr>
            <w:tcW w:w="1700" w:type="dxa"/>
            <w:vAlign w:val="center"/>
          </w:tcPr>
          <w:p w14:paraId="0DB8B39E" w14:textId="09702F4B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2,407,248</w:t>
            </w:r>
          </w:p>
        </w:tc>
        <w:tc>
          <w:tcPr>
            <w:tcW w:w="1884" w:type="dxa"/>
            <w:vAlign w:val="center"/>
          </w:tcPr>
          <w:p w14:paraId="01CF6DB9" w14:textId="10FFD1F5" w:rsidR="00E71901" w:rsidRPr="000A5A5B" w:rsidRDefault="00E71901" w:rsidP="001B044C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1B044C">
              <w:rPr>
                <w:rFonts w:cs="Arial"/>
                <w:sz w:val="16"/>
                <w:szCs w:val="16"/>
              </w:rPr>
              <w:t>2,103,690</w:t>
            </w:r>
          </w:p>
        </w:tc>
      </w:tr>
      <w:tr w:rsidR="00E71901" w:rsidRPr="000A5A5B" w14:paraId="0741C9CC" w14:textId="77777777" w:rsidTr="0089143C">
        <w:trPr>
          <w:trHeight w:hRule="exact" w:val="144"/>
          <w:jc w:val="center"/>
        </w:trPr>
        <w:tc>
          <w:tcPr>
            <w:tcW w:w="11048" w:type="dxa"/>
            <w:gridSpan w:val="4"/>
            <w:shd w:val="clear" w:color="auto" w:fill="C6D9F1"/>
            <w:vAlign w:val="center"/>
          </w:tcPr>
          <w:p w14:paraId="5AF1BF39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18DD6B81" w14:textId="77777777" w:rsidTr="0089143C">
        <w:trPr>
          <w:trHeight w:val="2968"/>
          <w:jc w:val="center"/>
        </w:trPr>
        <w:tc>
          <w:tcPr>
            <w:tcW w:w="11048" w:type="dxa"/>
            <w:gridSpan w:val="4"/>
            <w:tcBorders>
              <w:bottom w:val="single" w:sz="8" w:space="0" w:color="000000"/>
            </w:tcBorders>
          </w:tcPr>
          <w:p w14:paraId="01E753A8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  <w:p w14:paraId="2280FE85" w14:textId="5C98613D" w:rsidR="00417C7A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* Provide a statement of assumptions made in projecting a contingency budget for the </w:t>
            </w:r>
            <w:r w:rsidR="0036435C">
              <w:rPr>
                <w:rFonts w:cs="Arial"/>
                <w:sz w:val="16"/>
                <w:szCs w:val="16"/>
              </w:rPr>
              <w:t>20</w:t>
            </w:r>
            <w:r w:rsidR="00D4521D">
              <w:rPr>
                <w:rFonts w:cs="Arial"/>
                <w:sz w:val="16"/>
                <w:szCs w:val="16"/>
              </w:rPr>
              <w:t>2</w:t>
            </w:r>
            <w:r w:rsidR="00C31AE5">
              <w:rPr>
                <w:rFonts w:cs="Arial"/>
                <w:sz w:val="16"/>
                <w:szCs w:val="16"/>
              </w:rPr>
              <w:t>3</w:t>
            </w:r>
            <w:r w:rsidR="00F15F78">
              <w:rPr>
                <w:rFonts w:cs="Arial"/>
                <w:sz w:val="16"/>
                <w:szCs w:val="16"/>
              </w:rPr>
              <w:t>-2</w:t>
            </w:r>
            <w:r w:rsidR="00C31AE5">
              <w:rPr>
                <w:rFonts w:cs="Arial"/>
                <w:sz w:val="16"/>
                <w:szCs w:val="16"/>
              </w:rPr>
              <w:t>4</w:t>
            </w:r>
            <w:r w:rsidRPr="000A5A5B">
              <w:rPr>
                <w:rFonts w:cs="Arial"/>
                <w:sz w:val="16"/>
                <w:szCs w:val="16"/>
              </w:rPr>
              <w:t xml:space="preserve"> school year, should the proposed budget be defeated pursuant to Section 2023 of the Education Law.</w:t>
            </w:r>
          </w:p>
          <w:p w14:paraId="22AAE012" w14:textId="4AE201F6" w:rsidR="00E71901" w:rsidRPr="000A5A5B" w:rsidRDefault="008E3A0C" w:rsidP="000A5A5B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8E3A0C">
              <w:rPr>
                <w:rFonts w:cs="Arial"/>
                <w:sz w:val="16"/>
                <w:szCs w:val="16"/>
              </w:rPr>
              <w:t>Eliminating non-contingent items, including equipment, would be necessary as required by the current contingent budget rules. In developing a contingent budget, the Board of Education would review all programs besides those required to meet educational needs. If you have any questions, please contact Nicole Parliament, Business Manager, at 315-658-2241 x 321.</w:t>
            </w:r>
          </w:p>
          <w:tbl>
            <w:tblPr>
              <w:tblpPr w:leftFromText="180" w:rightFromText="180" w:vertAnchor="text" w:horzAnchor="margin" w:tblpXSpec="right" w:tblpY="359"/>
              <w:tblOverlap w:val="never"/>
              <w:tblW w:w="308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2"/>
              <w:gridCol w:w="1633"/>
            </w:tblGrid>
            <w:tr w:rsidR="00FD78F9" w:rsidRPr="000A5A5B" w14:paraId="080EE4DD" w14:textId="77777777" w:rsidTr="00FD78F9">
              <w:trPr>
                <w:trHeight w:val="278"/>
              </w:trPr>
              <w:tc>
                <w:tcPr>
                  <w:tcW w:w="3775" w:type="pct"/>
                  <w:shd w:val="clear" w:color="auto" w:fill="auto"/>
                  <w:vAlign w:val="bottom"/>
                </w:tcPr>
                <w:p w14:paraId="203897B1" w14:textId="77777777" w:rsidR="00FD78F9" w:rsidRPr="000A5A5B" w:rsidRDefault="00FD78F9" w:rsidP="0005648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A5A5B">
                    <w:rPr>
                      <w:rFonts w:cs="Arial"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1225" w:type="pct"/>
                  <w:shd w:val="clear" w:color="auto" w:fill="auto"/>
                  <w:vAlign w:val="bottom"/>
                </w:tcPr>
                <w:p w14:paraId="36201693" w14:textId="77777777" w:rsidR="00FD78F9" w:rsidRPr="000A5A5B" w:rsidRDefault="00FD78F9" w:rsidP="0005648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A5A5B">
                    <w:rPr>
                      <w:rFonts w:cs="Arial"/>
                      <w:sz w:val="16"/>
                      <w:szCs w:val="16"/>
                    </w:rPr>
                    <w:t>Amount</w:t>
                  </w:r>
                </w:p>
              </w:tc>
            </w:tr>
            <w:tr w:rsidR="00FD78F9" w:rsidRPr="000A5A5B" w14:paraId="7C558704" w14:textId="77777777" w:rsidTr="00BD09B8">
              <w:trPr>
                <w:trHeight w:val="268"/>
              </w:trPr>
              <w:tc>
                <w:tcPr>
                  <w:tcW w:w="3775" w:type="pct"/>
                  <w:shd w:val="clear" w:color="auto" w:fill="auto"/>
                  <w:vAlign w:val="center"/>
                </w:tcPr>
                <w:p w14:paraId="3E6EB57F" w14:textId="77777777" w:rsidR="00FD78F9" w:rsidRPr="000A5A5B" w:rsidRDefault="00FD78F9" w:rsidP="000A5A5B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5" w:type="pct"/>
                  <w:shd w:val="clear" w:color="auto" w:fill="auto"/>
                  <w:vAlign w:val="center"/>
                </w:tcPr>
                <w:p w14:paraId="3835A05B" w14:textId="708C5CEA" w:rsidR="00FD78F9" w:rsidRPr="000A5A5B" w:rsidRDefault="00BD09B8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$</w:t>
                  </w:r>
                </w:p>
              </w:tc>
            </w:tr>
            <w:tr w:rsidR="00FD78F9" w:rsidRPr="000A5A5B" w14:paraId="7CF940B3" w14:textId="77777777" w:rsidTr="00BD09B8">
              <w:trPr>
                <w:trHeight w:val="278"/>
              </w:trPr>
              <w:tc>
                <w:tcPr>
                  <w:tcW w:w="3775" w:type="pct"/>
                  <w:shd w:val="clear" w:color="auto" w:fill="auto"/>
                  <w:vAlign w:val="center"/>
                </w:tcPr>
                <w:p w14:paraId="78299AFD" w14:textId="77777777" w:rsidR="00FD78F9" w:rsidRPr="000A5A5B" w:rsidRDefault="00FD78F9" w:rsidP="000A5A5B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5" w:type="pct"/>
                  <w:shd w:val="clear" w:color="auto" w:fill="auto"/>
                  <w:vAlign w:val="center"/>
                </w:tcPr>
                <w:p w14:paraId="6F2BC389" w14:textId="53D575A4" w:rsidR="00FD78F9" w:rsidRPr="000A5A5B" w:rsidRDefault="00BD09B8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$</w:t>
                  </w:r>
                </w:p>
              </w:tc>
            </w:tr>
          </w:tbl>
          <w:p w14:paraId="643D153B" w14:textId="77777777" w:rsidR="00E71901" w:rsidRPr="000A5A5B" w:rsidRDefault="00E71901" w:rsidP="000A5A5B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14:paraId="16646B9A" w14:textId="77777777" w:rsidR="006D1961" w:rsidRDefault="006D1961" w:rsidP="000A5A5B">
            <w:pPr>
              <w:rPr>
                <w:rFonts w:cs="Arial"/>
                <w:sz w:val="16"/>
                <w:szCs w:val="16"/>
              </w:rPr>
            </w:pPr>
          </w:p>
          <w:p w14:paraId="2580AD64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** List Separate Propositions that are not included in the Total Budgeted Amount: (Tax Levy associated with educational or transportation services propositions are not eligible for exclusion and may affect voter approval requirements)</w:t>
            </w:r>
          </w:p>
          <w:p w14:paraId="5488A2E1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171FE92" w14:textId="77777777" w:rsidR="00B408BD" w:rsidRPr="000A5A5B" w:rsidRDefault="00B408BD" w:rsidP="000A5A5B">
      <w:pPr>
        <w:rPr>
          <w:rFonts w:cs="Arial"/>
          <w:sz w:val="16"/>
          <w:szCs w:val="16"/>
        </w:rPr>
      </w:pPr>
    </w:p>
    <w:tbl>
      <w:tblPr>
        <w:tblW w:w="10980" w:type="dxa"/>
        <w:tblInd w:w="-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80"/>
        <w:gridCol w:w="2400"/>
      </w:tblGrid>
      <w:tr w:rsidR="000848BA" w:rsidRPr="000A5A5B" w14:paraId="69443639" w14:textId="77777777" w:rsidTr="00F15F78">
        <w:trPr>
          <w:trHeight w:hRule="exact" w:val="494"/>
        </w:trPr>
        <w:tc>
          <w:tcPr>
            <w:tcW w:w="8580" w:type="dxa"/>
            <w:tcBorders>
              <w:bottom w:val="single" w:sz="7" w:space="0" w:color="000000"/>
              <w:right w:val="single" w:sz="7" w:space="0" w:color="000000"/>
            </w:tcBorders>
          </w:tcPr>
          <w:p w14:paraId="663BA54A" w14:textId="77777777" w:rsidR="000848BA" w:rsidRPr="000A5A5B" w:rsidRDefault="000848BA" w:rsidP="008E3A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0E2A9" w14:textId="4242DEA3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Under the Budget Proposed for the </w:t>
            </w:r>
            <w:r w:rsidR="0036435C">
              <w:rPr>
                <w:rFonts w:cs="Arial"/>
                <w:sz w:val="16"/>
                <w:szCs w:val="16"/>
              </w:rPr>
              <w:t>20</w:t>
            </w:r>
            <w:r w:rsidR="00D4521D">
              <w:rPr>
                <w:rFonts w:cs="Arial"/>
                <w:sz w:val="16"/>
                <w:szCs w:val="16"/>
              </w:rPr>
              <w:t>2</w:t>
            </w:r>
            <w:r w:rsidR="00C31AE5">
              <w:rPr>
                <w:rFonts w:cs="Arial"/>
                <w:sz w:val="16"/>
                <w:szCs w:val="16"/>
              </w:rPr>
              <w:t>3</w:t>
            </w:r>
            <w:r w:rsidR="00F15F78">
              <w:rPr>
                <w:rFonts w:cs="Arial"/>
                <w:sz w:val="16"/>
                <w:szCs w:val="16"/>
              </w:rPr>
              <w:t>-2</w:t>
            </w:r>
            <w:r w:rsidR="00C31AE5">
              <w:rPr>
                <w:rFonts w:cs="Arial"/>
                <w:sz w:val="16"/>
                <w:szCs w:val="16"/>
              </w:rPr>
              <w:t>4</w:t>
            </w:r>
            <w:r w:rsidRPr="000A5A5B">
              <w:rPr>
                <w:rFonts w:cs="Arial"/>
                <w:sz w:val="16"/>
                <w:szCs w:val="16"/>
              </w:rPr>
              <w:t xml:space="preserve"> School Year</w:t>
            </w:r>
          </w:p>
        </w:tc>
      </w:tr>
      <w:tr w:rsidR="000848BA" w:rsidRPr="000A5A5B" w14:paraId="4EA261BC" w14:textId="77777777" w:rsidTr="00F15F78">
        <w:trPr>
          <w:trHeight w:hRule="exact" w:val="413"/>
        </w:trPr>
        <w:tc>
          <w:tcPr>
            <w:tcW w:w="8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E117D3" w14:textId="77777777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Estimated Basic STAR Exemption Savings</w:t>
            </w:r>
            <w:r w:rsidRPr="000A5A5B">
              <w:rPr>
                <w:rFonts w:cs="Arial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BE1CD" w14:textId="77777777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</w:p>
          <w:p w14:paraId="55F261E5" w14:textId="72B62D07" w:rsidR="000848BA" w:rsidRPr="000A5A5B" w:rsidRDefault="000848BA" w:rsidP="00364667">
            <w:pPr>
              <w:jc w:val="right"/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364667">
              <w:rPr>
                <w:rFonts w:cs="Arial"/>
                <w:sz w:val="16"/>
                <w:szCs w:val="16"/>
              </w:rPr>
              <w:t>267.00</w:t>
            </w:r>
          </w:p>
        </w:tc>
      </w:tr>
    </w:tbl>
    <w:p w14:paraId="468C5771" w14:textId="77777777" w:rsidR="009B3175" w:rsidRPr="000A5A5B" w:rsidRDefault="009B3175" w:rsidP="000A5A5B">
      <w:pPr>
        <w:rPr>
          <w:rFonts w:cs="Arial"/>
          <w:sz w:val="16"/>
          <w:szCs w:val="16"/>
        </w:rPr>
      </w:pPr>
    </w:p>
    <w:p w14:paraId="11036458" w14:textId="328A2E36" w:rsidR="0080452A" w:rsidRPr="000A5A5B" w:rsidRDefault="00B408BD" w:rsidP="00FF1D98">
      <w:pPr>
        <w:rPr>
          <w:rFonts w:cs="Arial"/>
          <w:sz w:val="16"/>
          <w:szCs w:val="16"/>
        </w:rPr>
      </w:pPr>
      <w:r w:rsidRPr="000A5A5B">
        <w:rPr>
          <w:rFonts w:cs="Arial"/>
          <w:sz w:val="16"/>
          <w:szCs w:val="16"/>
        </w:rPr>
        <w:t xml:space="preserve">The annual budget vote for the fiscal year </w:t>
      </w:r>
      <w:r w:rsidR="0036435C">
        <w:rPr>
          <w:rFonts w:cs="Arial"/>
          <w:sz w:val="16"/>
          <w:szCs w:val="16"/>
        </w:rPr>
        <w:t>20</w:t>
      </w:r>
      <w:r w:rsidR="00D4521D">
        <w:rPr>
          <w:rFonts w:cs="Arial"/>
          <w:sz w:val="16"/>
          <w:szCs w:val="16"/>
        </w:rPr>
        <w:t>2</w:t>
      </w:r>
      <w:r w:rsidR="00C31AE5">
        <w:rPr>
          <w:rFonts w:cs="Arial"/>
          <w:sz w:val="16"/>
          <w:szCs w:val="16"/>
        </w:rPr>
        <w:t>3</w:t>
      </w:r>
      <w:r w:rsidR="00F15F78">
        <w:rPr>
          <w:rFonts w:cs="Arial"/>
          <w:sz w:val="16"/>
          <w:szCs w:val="16"/>
        </w:rPr>
        <w:t>-2</w:t>
      </w:r>
      <w:r w:rsidR="00C31AE5">
        <w:rPr>
          <w:rFonts w:cs="Arial"/>
          <w:sz w:val="16"/>
          <w:szCs w:val="16"/>
        </w:rPr>
        <w:t>4</w:t>
      </w:r>
      <w:r w:rsidRPr="000A5A5B">
        <w:rPr>
          <w:rFonts w:cs="Arial"/>
          <w:sz w:val="16"/>
          <w:szCs w:val="16"/>
        </w:rPr>
        <w:t xml:space="preserve"> by the qualified voters of the</w:t>
      </w:r>
      <w:r w:rsidR="008E3A0C">
        <w:rPr>
          <w:rFonts w:cs="Arial"/>
          <w:sz w:val="16"/>
          <w:szCs w:val="16"/>
        </w:rPr>
        <w:t xml:space="preserve"> LaFargeville Central School District, Jefferson </w:t>
      </w:r>
      <w:r w:rsidRPr="000A5A5B">
        <w:rPr>
          <w:rFonts w:cs="Arial"/>
          <w:sz w:val="16"/>
          <w:szCs w:val="16"/>
        </w:rPr>
        <w:t xml:space="preserve">County, New York, will </w:t>
      </w:r>
      <w:r w:rsidR="008E3A0C">
        <w:rPr>
          <w:rFonts w:cs="Arial"/>
          <w:sz w:val="16"/>
          <w:szCs w:val="16"/>
        </w:rPr>
        <w:t xml:space="preserve">be held in the district cafeteria of LaFargeville Central School </w:t>
      </w:r>
      <w:r w:rsidRPr="000A5A5B">
        <w:rPr>
          <w:rFonts w:cs="Arial"/>
          <w:sz w:val="16"/>
          <w:szCs w:val="16"/>
        </w:rPr>
        <w:t xml:space="preserve">on </w:t>
      </w:r>
      <w:r w:rsidR="00D4521D">
        <w:rPr>
          <w:rFonts w:cs="Arial"/>
          <w:sz w:val="16"/>
          <w:szCs w:val="16"/>
        </w:rPr>
        <w:t xml:space="preserve">Tuesday, </w:t>
      </w:r>
      <w:r w:rsidR="00087761">
        <w:rPr>
          <w:rFonts w:cs="Arial"/>
          <w:sz w:val="16"/>
          <w:szCs w:val="16"/>
        </w:rPr>
        <w:t>May</w:t>
      </w:r>
      <w:r w:rsidR="00D4521D">
        <w:rPr>
          <w:rFonts w:cs="Arial"/>
          <w:sz w:val="16"/>
          <w:szCs w:val="16"/>
        </w:rPr>
        <w:t xml:space="preserve"> </w:t>
      </w:r>
      <w:r w:rsidR="00087761">
        <w:rPr>
          <w:rFonts w:cs="Arial"/>
          <w:sz w:val="16"/>
          <w:szCs w:val="16"/>
        </w:rPr>
        <w:t>1</w:t>
      </w:r>
      <w:r w:rsidR="00C31AE5">
        <w:rPr>
          <w:rFonts w:cs="Arial"/>
          <w:sz w:val="16"/>
          <w:szCs w:val="16"/>
        </w:rPr>
        <w:t>6</w:t>
      </w:r>
      <w:r w:rsidR="00345B95">
        <w:rPr>
          <w:rFonts w:cs="Arial"/>
          <w:sz w:val="16"/>
          <w:szCs w:val="16"/>
        </w:rPr>
        <w:t>, 20</w:t>
      </w:r>
      <w:r w:rsidR="00D4521D">
        <w:rPr>
          <w:rFonts w:cs="Arial"/>
          <w:sz w:val="16"/>
          <w:szCs w:val="16"/>
        </w:rPr>
        <w:t>2</w:t>
      </w:r>
      <w:r w:rsidR="00C31AE5">
        <w:rPr>
          <w:rFonts w:cs="Arial"/>
          <w:sz w:val="16"/>
          <w:szCs w:val="16"/>
        </w:rPr>
        <w:t>3</w:t>
      </w:r>
      <w:r w:rsidR="00950093" w:rsidRPr="000A5A5B">
        <w:rPr>
          <w:rFonts w:cs="Arial"/>
          <w:sz w:val="16"/>
          <w:szCs w:val="16"/>
        </w:rPr>
        <w:t xml:space="preserve"> </w:t>
      </w:r>
      <w:r w:rsidR="008E3A0C">
        <w:rPr>
          <w:rFonts w:cs="Arial"/>
          <w:sz w:val="16"/>
          <w:szCs w:val="16"/>
        </w:rPr>
        <w:t>between the hours of 1:00pm and 8</w:t>
      </w:r>
      <w:r w:rsidR="00A31EA2">
        <w:rPr>
          <w:rFonts w:cs="Arial"/>
          <w:sz w:val="16"/>
          <w:szCs w:val="16"/>
        </w:rPr>
        <w:t>:00pm, prevailing time,</w:t>
      </w:r>
      <w:r w:rsidRPr="000A5A5B">
        <w:rPr>
          <w:rFonts w:cs="Arial"/>
          <w:sz w:val="16"/>
          <w:szCs w:val="16"/>
        </w:rPr>
        <w:t xml:space="preserve"> at which time the polls will be opened to </w:t>
      </w:r>
      <w:r w:rsidR="00A31EA2">
        <w:rPr>
          <w:rFonts w:cs="Arial"/>
          <w:sz w:val="16"/>
          <w:szCs w:val="16"/>
        </w:rPr>
        <w:t>vote by voting ballot</w:t>
      </w:r>
      <w:r w:rsidRPr="000A5A5B">
        <w:rPr>
          <w:rFonts w:cs="Arial"/>
          <w:sz w:val="16"/>
          <w:szCs w:val="16"/>
        </w:rPr>
        <w:t>.</w:t>
      </w:r>
      <w:r w:rsidR="00FF1D98">
        <w:rPr>
          <w:rFonts w:cs="Arial"/>
          <w:sz w:val="16"/>
          <w:szCs w:val="16"/>
        </w:rPr>
        <w:t xml:space="preserve"> </w:t>
      </w:r>
    </w:p>
    <w:p w14:paraId="4A2D32B9" w14:textId="0F39849B" w:rsidR="00B408BD" w:rsidRPr="000A5A5B" w:rsidRDefault="00955D71" w:rsidP="000A5A5B">
      <w:pPr>
        <w:rPr>
          <w:rFonts w:cs="Arial"/>
          <w:sz w:val="16"/>
          <w:szCs w:val="16"/>
        </w:rPr>
      </w:pPr>
      <w:r w:rsidRPr="000A5A5B">
        <w:rPr>
          <w:rFonts w:cs="Arial"/>
          <w:sz w:val="16"/>
          <w:szCs w:val="16"/>
        </w:rPr>
        <w:t>-----------------------------------------------------------------------------------------</w:t>
      </w:r>
      <w:r w:rsidR="00240987" w:rsidRPr="000A5A5B">
        <w:rPr>
          <w:rFonts w:cs="Arial"/>
          <w:sz w:val="16"/>
          <w:szCs w:val="16"/>
        </w:rPr>
        <w:t>-------------------------------------------------------------------------------------------</w:t>
      </w:r>
      <w:r w:rsidR="00A31EA2">
        <w:rPr>
          <w:rFonts w:cs="Arial"/>
          <w:sz w:val="16"/>
          <w:szCs w:val="16"/>
        </w:rPr>
        <w:t>----------------------</w:t>
      </w:r>
    </w:p>
    <w:p w14:paraId="42FFCA3C" w14:textId="77777777" w:rsidR="00B408BD" w:rsidRDefault="00910BE4" w:rsidP="00910BE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1. </w:t>
      </w:r>
      <w:r w:rsidR="00B408BD" w:rsidRPr="000A5A5B">
        <w:rPr>
          <w:rFonts w:cs="Arial"/>
          <w:sz w:val="16"/>
          <w:szCs w:val="16"/>
        </w:rPr>
        <w:t>The basic school tax relief (STAR) exemption is authorized by section 425 of the Real Property Tax Law.</w:t>
      </w:r>
    </w:p>
    <w:sectPr w:rsidR="00B408BD" w:rsidSect="00B81234">
      <w:endnotePr>
        <w:numFmt w:val="decimal"/>
      </w:endnotePr>
      <w:type w:val="continuous"/>
      <w:pgSz w:w="12240" w:h="15840" w:code="1"/>
      <w:pgMar w:top="288" w:right="720" w:bottom="360" w:left="720" w:header="28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C2C0" w14:textId="77777777" w:rsidR="008E2CDD" w:rsidRDefault="008E2CDD">
      <w:r>
        <w:separator/>
      </w:r>
    </w:p>
  </w:endnote>
  <w:endnote w:type="continuationSeparator" w:id="0">
    <w:p w14:paraId="7D9AD001" w14:textId="77777777" w:rsidR="008E2CDD" w:rsidRDefault="008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7F31" w14:textId="77777777" w:rsidR="008E2CDD" w:rsidRDefault="008E2CDD">
      <w:r>
        <w:separator/>
      </w:r>
    </w:p>
  </w:footnote>
  <w:footnote w:type="continuationSeparator" w:id="0">
    <w:p w14:paraId="0D4EA7E7" w14:textId="77777777" w:rsidR="008E2CDD" w:rsidRDefault="008E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6493"/>
    <w:multiLevelType w:val="multilevel"/>
    <w:tmpl w:val="2B70F28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421E4"/>
    <w:multiLevelType w:val="hybridMultilevel"/>
    <w:tmpl w:val="C2C0DAAA"/>
    <w:lvl w:ilvl="0" w:tplc="9E524394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F4F6D"/>
    <w:multiLevelType w:val="hybridMultilevel"/>
    <w:tmpl w:val="AC8C1C2A"/>
    <w:lvl w:ilvl="0" w:tplc="C23E6168"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43896"/>
    <w:multiLevelType w:val="hybridMultilevel"/>
    <w:tmpl w:val="2B70F280"/>
    <w:lvl w:ilvl="0" w:tplc="26587D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10800"/>
    <w:multiLevelType w:val="hybridMultilevel"/>
    <w:tmpl w:val="6D0A8190"/>
    <w:lvl w:ilvl="0" w:tplc="508C9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1951"/>
    <w:multiLevelType w:val="hybridMultilevel"/>
    <w:tmpl w:val="EAC66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535FC"/>
    <w:multiLevelType w:val="multilevel"/>
    <w:tmpl w:val="AC8C1C2A"/>
    <w:lvl w:ilvl="0"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84F10"/>
    <w:multiLevelType w:val="hybridMultilevel"/>
    <w:tmpl w:val="BF8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D"/>
    <w:rsid w:val="00003C66"/>
    <w:rsid w:val="00011368"/>
    <w:rsid w:val="00012798"/>
    <w:rsid w:val="00026DCB"/>
    <w:rsid w:val="000562D3"/>
    <w:rsid w:val="00056487"/>
    <w:rsid w:val="00060864"/>
    <w:rsid w:val="00073614"/>
    <w:rsid w:val="00083056"/>
    <w:rsid w:val="000848BA"/>
    <w:rsid w:val="00087761"/>
    <w:rsid w:val="000A0897"/>
    <w:rsid w:val="000A5A5B"/>
    <w:rsid w:val="000B2F35"/>
    <w:rsid w:val="000D7853"/>
    <w:rsid w:val="000E3AA0"/>
    <w:rsid w:val="000E401F"/>
    <w:rsid w:val="000F697A"/>
    <w:rsid w:val="001053EB"/>
    <w:rsid w:val="00111EA3"/>
    <w:rsid w:val="00117C2F"/>
    <w:rsid w:val="001241B9"/>
    <w:rsid w:val="00143ACE"/>
    <w:rsid w:val="00173AF3"/>
    <w:rsid w:val="001878CE"/>
    <w:rsid w:val="001A0F09"/>
    <w:rsid w:val="001A16E9"/>
    <w:rsid w:val="001A41CE"/>
    <w:rsid w:val="001A5423"/>
    <w:rsid w:val="001A59B2"/>
    <w:rsid w:val="001A78FD"/>
    <w:rsid w:val="001B044C"/>
    <w:rsid w:val="001B77DF"/>
    <w:rsid w:val="001C4870"/>
    <w:rsid w:val="001C77E6"/>
    <w:rsid w:val="002109D5"/>
    <w:rsid w:val="00210A87"/>
    <w:rsid w:val="00220A66"/>
    <w:rsid w:val="00222069"/>
    <w:rsid w:val="002274F8"/>
    <w:rsid w:val="00240987"/>
    <w:rsid w:val="002439C4"/>
    <w:rsid w:val="00252C2A"/>
    <w:rsid w:val="00286F73"/>
    <w:rsid w:val="002A0F4F"/>
    <w:rsid w:val="002A2F73"/>
    <w:rsid w:val="002B1A93"/>
    <w:rsid w:val="002C1ACD"/>
    <w:rsid w:val="002F04A3"/>
    <w:rsid w:val="002F50C6"/>
    <w:rsid w:val="003107BB"/>
    <w:rsid w:val="00323FF6"/>
    <w:rsid w:val="00327AA4"/>
    <w:rsid w:val="00335B4B"/>
    <w:rsid w:val="00343739"/>
    <w:rsid w:val="00345B95"/>
    <w:rsid w:val="0036435C"/>
    <w:rsid w:val="00364667"/>
    <w:rsid w:val="00365E83"/>
    <w:rsid w:val="00380619"/>
    <w:rsid w:val="003915FA"/>
    <w:rsid w:val="003B1F9C"/>
    <w:rsid w:val="00413EE2"/>
    <w:rsid w:val="00415813"/>
    <w:rsid w:val="00417C7A"/>
    <w:rsid w:val="00457EC0"/>
    <w:rsid w:val="00461510"/>
    <w:rsid w:val="0046234B"/>
    <w:rsid w:val="004B7947"/>
    <w:rsid w:val="004D250B"/>
    <w:rsid w:val="004D2E42"/>
    <w:rsid w:val="004E26D0"/>
    <w:rsid w:val="004E422E"/>
    <w:rsid w:val="004E76B9"/>
    <w:rsid w:val="004F6400"/>
    <w:rsid w:val="0050312D"/>
    <w:rsid w:val="005315B4"/>
    <w:rsid w:val="00546863"/>
    <w:rsid w:val="00556601"/>
    <w:rsid w:val="00562497"/>
    <w:rsid w:val="00565E3B"/>
    <w:rsid w:val="00581D84"/>
    <w:rsid w:val="005946A2"/>
    <w:rsid w:val="00594CE8"/>
    <w:rsid w:val="00594E1C"/>
    <w:rsid w:val="005A07DB"/>
    <w:rsid w:val="005A3347"/>
    <w:rsid w:val="005B263F"/>
    <w:rsid w:val="005C3606"/>
    <w:rsid w:val="00612459"/>
    <w:rsid w:val="00623901"/>
    <w:rsid w:val="00623B69"/>
    <w:rsid w:val="00647CFB"/>
    <w:rsid w:val="00674E92"/>
    <w:rsid w:val="006A5EE6"/>
    <w:rsid w:val="006B7E76"/>
    <w:rsid w:val="006C6451"/>
    <w:rsid w:val="006D1961"/>
    <w:rsid w:val="006E4A66"/>
    <w:rsid w:val="00710DC3"/>
    <w:rsid w:val="007119FC"/>
    <w:rsid w:val="007218D4"/>
    <w:rsid w:val="00741475"/>
    <w:rsid w:val="00760126"/>
    <w:rsid w:val="00764E97"/>
    <w:rsid w:val="00777C9D"/>
    <w:rsid w:val="00795ACD"/>
    <w:rsid w:val="007B3255"/>
    <w:rsid w:val="007C03D1"/>
    <w:rsid w:val="007D60A1"/>
    <w:rsid w:val="0080452A"/>
    <w:rsid w:val="00834C01"/>
    <w:rsid w:val="00847B09"/>
    <w:rsid w:val="00860EF0"/>
    <w:rsid w:val="00866822"/>
    <w:rsid w:val="008672A0"/>
    <w:rsid w:val="00882793"/>
    <w:rsid w:val="0089143C"/>
    <w:rsid w:val="008A53C2"/>
    <w:rsid w:val="008B35FE"/>
    <w:rsid w:val="008C75CD"/>
    <w:rsid w:val="008E2CDD"/>
    <w:rsid w:val="008E3A0C"/>
    <w:rsid w:val="008F6E18"/>
    <w:rsid w:val="00910BE4"/>
    <w:rsid w:val="00926D58"/>
    <w:rsid w:val="00950093"/>
    <w:rsid w:val="00951F75"/>
    <w:rsid w:val="00955D71"/>
    <w:rsid w:val="00980EE7"/>
    <w:rsid w:val="00984A31"/>
    <w:rsid w:val="00994773"/>
    <w:rsid w:val="009B3175"/>
    <w:rsid w:val="009D2C82"/>
    <w:rsid w:val="009D4108"/>
    <w:rsid w:val="009E53E1"/>
    <w:rsid w:val="00A003C6"/>
    <w:rsid w:val="00A05B3D"/>
    <w:rsid w:val="00A135C1"/>
    <w:rsid w:val="00A177DD"/>
    <w:rsid w:val="00A31EA2"/>
    <w:rsid w:val="00A446AD"/>
    <w:rsid w:val="00A5171D"/>
    <w:rsid w:val="00A75171"/>
    <w:rsid w:val="00A84FCC"/>
    <w:rsid w:val="00AA26FF"/>
    <w:rsid w:val="00AB2386"/>
    <w:rsid w:val="00AB693C"/>
    <w:rsid w:val="00AF780B"/>
    <w:rsid w:val="00B02E00"/>
    <w:rsid w:val="00B20ACF"/>
    <w:rsid w:val="00B21EC0"/>
    <w:rsid w:val="00B23185"/>
    <w:rsid w:val="00B408BD"/>
    <w:rsid w:val="00B42B05"/>
    <w:rsid w:val="00B47BC6"/>
    <w:rsid w:val="00B507ED"/>
    <w:rsid w:val="00B50965"/>
    <w:rsid w:val="00B570B1"/>
    <w:rsid w:val="00B6104B"/>
    <w:rsid w:val="00B81234"/>
    <w:rsid w:val="00B915B9"/>
    <w:rsid w:val="00B94044"/>
    <w:rsid w:val="00B94579"/>
    <w:rsid w:val="00B96D39"/>
    <w:rsid w:val="00B973E0"/>
    <w:rsid w:val="00BA78D4"/>
    <w:rsid w:val="00BB0689"/>
    <w:rsid w:val="00BB2F06"/>
    <w:rsid w:val="00BC7CC3"/>
    <w:rsid w:val="00BD057A"/>
    <w:rsid w:val="00BD09B8"/>
    <w:rsid w:val="00BE4F44"/>
    <w:rsid w:val="00BF03A2"/>
    <w:rsid w:val="00C31AE5"/>
    <w:rsid w:val="00C534F7"/>
    <w:rsid w:val="00C868EB"/>
    <w:rsid w:val="00CA2ED9"/>
    <w:rsid w:val="00CA3A1B"/>
    <w:rsid w:val="00CE368B"/>
    <w:rsid w:val="00CF1F81"/>
    <w:rsid w:val="00D01FA3"/>
    <w:rsid w:val="00D05E12"/>
    <w:rsid w:val="00D13F60"/>
    <w:rsid w:val="00D14A54"/>
    <w:rsid w:val="00D4521D"/>
    <w:rsid w:val="00D67594"/>
    <w:rsid w:val="00D875D2"/>
    <w:rsid w:val="00D93943"/>
    <w:rsid w:val="00D9743C"/>
    <w:rsid w:val="00DC05D4"/>
    <w:rsid w:val="00DC0F9F"/>
    <w:rsid w:val="00E277E2"/>
    <w:rsid w:val="00E314AC"/>
    <w:rsid w:val="00E71901"/>
    <w:rsid w:val="00E746AC"/>
    <w:rsid w:val="00E81E85"/>
    <w:rsid w:val="00E83403"/>
    <w:rsid w:val="00E96A72"/>
    <w:rsid w:val="00EB3174"/>
    <w:rsid w:val="00EC397E"/>
    <w:rsid w:val="00ED5C15"/>
    <w:rsid w:val="00EF7BE4"/>
    <w:rsid w:val="00F15F78"/>
    <w:rsid w:val="00F2051F"/>
    <w:rsid w:val="00F247A0"/>
    <w:rsid w:val="00F34F4B"/>
    <w:rsid w:val="00F44C67"/>
    <w:rsid w:val="00F820B1"/>
    <w:rsid w:val="00F84E0F"/>
    <w:rsid w:val="00FD78F9"/>
    <w:rsid w:val="00FF0B74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543200"/>
  <w15:docId w15:val="{E12E826D-F284-42B2-BFFE-589B931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sid w:val="00CF1F81"/>
    <w:rPr>
      <w:sz w:val="20"/>
    </w:rPr>
  </w:style>
  <w:style w:type="table" w:styleId="TableGrid">
    <w:name w:val="Table Grid"/>
    <w:basedOn w:val="TableNormal"/>
    <w:rsid w:val="00A446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9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F6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6400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084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470E-F682-44D2-A4D2-841BCE37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Budget Notice</vt:lpstr>
    </vt:vector>
  </TitlesOfParts>
  <Company>NYSED</Company>
  <LinksUpToDate>false</LinksUpToDate>
  <CharactersWithSpaces>3041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mailto:emscmgts@nysed.gov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Budget Notice</dc:title>
  <dc:creator>NYSED</dc:creator>
  <cp:lastModifiedBy>Nicole Parliament</cp:lastModifiedBy>
  <cp:revision>6</cp:revision>
  <cp:lastPrinted>2023-05-08T11:49:00Z</cp:lastPrinted>
  <dcterms:created xsi:type="dcterms:W3CDTF">2023-05-02T15:45:00Z</dcterms:created>
  <dcterms:modified xsi:type="dcterms:W3CDTF">2023-05-08T12:06:00Z</dcterms:modified>
</cp:coreProperties>
</file>